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6459C0" w14:textId="4523AD46" w:rsidR="00781575" w:rsidRPr="00781575" w:rsidRDefault="00781575" w:rsidP="0057011A">
      <w:pPr>
        <w:spacing w:after="0" w:line="320" w:lineRule="atLeast"/>
        <w:jc w:val="center"/>
        <w:rPr>
          <w:rFonts w:ascii="Georgia" w:hAnsi="Georgia"/>
          <w:b/>
          <w:sz w:val="28"/>
          <w:szCs w:val="28"/>
          <w:lang w:val="en-GB"/>
        </w:rPr>
      </w:pPr>
      <w:r w:rsidRPr="00781575">
        <w:rPr>
          <w:rFonts w:ascii="Georgia" w:hAnsi="Georgia"/>
          <w:b/>
          <w:sz w:val="28"/>
          <w:szCs w:val="28"/>
          <w:lang w:val="en-GB"/>
        </w:rPr>
        <w:t>George Hurst Supplemental Material</w:t>
      </w:r>
    </w:p>
    <w:p w14:paraId="0532B4A3" w14:textId="3FE5985B" w:rsidR="00781575" w:rsidRDefault="00781575" w:rsidP="0057011A">
      <w:pPr>
        <w:spacing w:after="0" w:line="320" w:lineRule="atLeast"/>
        <w:rPr>
          <w:rFonts w:ascii="Georgia" w:hAnsi="Georgia"/>
          <w:lang w:val="en-GB"/>
        </w:rPr>
      </w:pPr>
    </w:p>
    <w:p w14:paraId="74E0B68E" w14:textId="590E0B03" w:rsidR="00781575" w:rsidRDefault="00781575" w:rsidP="0057011A">
      <w:pPr>
        <w:spacing w:after="0" w:line="320" w:lineRule="atLeast"/>
        <w:ind w:firstLine="720"/>
        <w:rPr>
          <w:rFonts w:ascii="Georgia" w:hAnsi="Georgia"/>
          <w:i/>
          <w:lang w:val="en-GB"/>
        </w:rPr>
      </w:pPr>
      <w:r w:rsidRPr="00781575">
        <w:rPr>
          <w:rFonts w:ascii="Georgia" w:hAnsi="Georgia"/>
          <w:i/>
          <w:lang w:val="en-GB"/>
        </w:rPr>
        <w:t>The following</w:t>
      </w:r>
      <w:r w:rsidR="0056022C">
        <w:rPr>
          <w:rFonts w:ascii="Georgia" w:hAnsi="Georgia"/>
          <w:i/>
          <w:lang w:val="en-GB"/>
        </w:rPr>
        <w:t>,</w:t>
      </w:r>
      <w:r w:rsidRPr="00781575">
        <w:rPr>
          <w:rFonts w:ascii="Georgia" w:hAnsi="Georgia"/>
          <w:i/>
          <w:lang w:val="en-GB"/>
        </w:rPr>
        <w:t xml:space="preserve"> written by Denise Ham</w:t>
      </w:r>
      <w:r w:rsidR="0056022C">
        <w:rPr>
          <w:rFonts w:ascii="Georgia" w:hAnsi="Georgia"/>
          <w:i/>
          <w:lang w:val="en-GB"/>
        </w:rPr>
        <w:t>, is a brief summary of</w:t>
      </w:r>
      <w:r w:rsidRPr="00781575">
        <w:rPr>
          <w:rFonts w:ascii="Georgia" w:hAnsi="Georgia"/>
          <w:i/>
          <w:lang w:val="en-GB"/>
        </w:rPr>
        <w:t xml:space="preserve"> George Hurst’s </w:t>
      </w:r>
      <w:r w:rsidR="0056022C">
        <w:rPr>
          <w:rFonts w:ascii="Georgia" w:hAnsi="Georgia"/>
          <w:i/>
          <w:lang w:val="en-GB"/>
        </w:rPr>
        <w:t xml:space="preserve">early </w:t>
      </w:r>
      <w:r w:rsidRPr="00781575">
        <w:rPr>
          <w:rFonts w:ascii="Georgia" w:hAnsi="Georgia"/>
          <w:i/>
          <w:lang w:val="en-GB"/>
        </w:rPr>
        <w:t xml:space="preserve">conducting </w:t>
      </w:r>
      <w:r w:rsidR="0056022C">
        <w:rPr>
          <w:rFonts w:ascii="Georgia" w:hAnsi="Georgia"/>
          <w:i/>
          <w:lang w:val="en-GB"/>
        </w:rPr>
        <w:t>experiences</w:t>
      </w:r>
      <w:r w:rsidRPr="00781575">
        <w:rPr>
          <w:rFonts w:ascii="Georgia" w:hAnsi="Georgia"/>
          <w:i/>
          <w:lang w:val="en-GB"/>
        </w:rPr>
        <w:t xml:space="preserve">, </w:t>
      </w:r>
      <w:r w:rsidR="0056022C">
        <w:rPr>
          <w:rFonts w:ascii="Georgia" w:hAnsi="Georgia"/>
          <w:i/>
          <w:lang w:val="en-GB"/>
        </w:rPr>
        <w:t xml:space="preserve">together with Ms. Ham’s </w:t>
      </w:r>
      <w:r w:rsidR="0056022C" w:rsidRPr="00781575">
        <w:rPr>
          <w:rFonts w:ascii="Georgia" w:hAnsi="Georgia"/>
          <w:i/>
          <w:lang w:val="en-GB"/>
        </w:rPr>
        <w:t>introduction to</w:t>
      </w:r>
      <w:r w:rsidR="0056022C">
        <w:rPr>
          <w:rFonts w:ascii="Georgia" w:hAnsi="Georgia"/>
          <w:i/>
          <w:lang w:val="en-GB"/>
        </w:rPr>
        <w:t xml:space="preserve"> </w:t>
      </w:r>
      <w:proofErr w:type="spellStart"/>
      <w:r w:rsidR="0056022C">
        <w:rPr>
          <w:rFonts w:ascii="Georgia" w:hAnsi="Georgia"/>
          <w:i/>
          <w:lang w:val="en-GB"/>
        </w:rPr>
        <w:t>centered</w:t>
      </w:r>
      <w:proofErr w:type="spellEnd"/>
      <w:r w:rsidR="0056022C">
        <w:rPr>
          <w:rFonts w:ascii="Georgia" w:hAnsi="Georgia"/>
          <w:i/>
          <w:lang w:val="en-GB"/>
        </w:rPr>
        <w:t xml:space="preserve"> (f</w:t>
      </w:r>
      <w:r w:rsidR="0056022C" w:rsidRPr="00781575">
        <w:rPr>
          <w:rFonts w:ascii="Georgia" w:hAnsi="Georgia"/>
          <w:i/>
          <w:lang w:val="en-GB"/>
        </w:rPr>
        <w:t>ocal</w:t>
      </w:r>
      <w:r w:rsidR="0056022C">
        <w:rPr>
          <w:rFonts w:ascii="Georgia" w:hAnsi="Georgia"/>
          <w:i/>
          <w:lang w:val="en-GB"/>
        </w:rPr>
        <w:t xml:space="preserve"> p</w:t>
      </w:r>
      <w:r w:rsidR="0056022C" w:rsidRPr="00781575">
        <w:rPr>
          <w:rFonts w:ascii="Georgia" w:hAnsi="Georgia"/>
          <w:i/>
          <w:lang w:val="en-GB"/>
        </w:rPr>
        <w:t>oint</w:t>
      </w:r>
      <w:r w:rsidR="0056022C">
        <w:rPr>
          <w:rFonts w:ascii="Georgia" w:hAnsi="Georgia"/>
          <w:i/>
          <w:lang w:val="en-GB"/>
        </w:rPr>
        <w:t>) c</w:t>
      </w:r>
      <w:r w:rsidR="0056022C" w:rsidRPr="00781575">
        <w:rPr>
          <w:rFonts w:ascii="Georgia" w:hAnsi="Georgia"/>
          <w:i/>
          <w:lang w:val="en-GB"/>
        </w:rPr>
        <w:t>onducting</w:t>
      </w:r>
      <w:r w:rsidR="0056022C">
        <w:rPr>
          <w:rFonts w:ascii="Georgia" w:hAnsi="Georgia"/>
          <w:i/>
          <w:lang w:val="en-GB"/>
        </w:rPr>
        <w:t>.</w:t>
      </w:r>
      <w:r w:rsidRPr="00781575">
        <w:rPr>
          <w:rFonts w:ascii="Georgia" w:hAnsi="Georgia"/>
          <w:i/>
          <w:lang w:val="en-GB"/>
        </w:rPr>
        <w:t xml:space="preserve"> </w:t>
      </w:r>
    </w:p>
    <w:p w14:paraId="7AA44037" w14:textId="77777777" w:rsidR="0056022C" w:rsidRDefault="0056022C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</w:p>
    <w:p w14:paraId="6954C87A" w14:textId="66AC640E" w:rsidR="00781575" w:rsidRPr="00781575" w:rsidRDefault="0056022C" w:rsidP="0057011A">
      <w:pPr>
        <w:spacing w:after="0" w:line="320" w:lineRule="atLeast"/>
        <w:rPr>
          <w:rFonts w:ascii="Georgia" w:hAnsi="Georgia"/>
          <w:b/>
          <w:sz w:val="24"/>
          <w:szCs w:val="24"/>
          <w:lang w:val="en-GB"/>
        </w:rPr>
      </w:pPr>
      <w:proofErr w:type="spellStart"/>
      <w:r>
        <w:rPr>
          <w:rFonts w:ascii="Georgia" w:hAnsi="Georgia"/>
          <w:b/>
          <w:sz w:val="24"/>
          <w:szCs w:val="24"/>
          <w:lang w:val="en-GB"/>
        </w:rPr>
        <w:t>Centered</w:t>
      </w:r>
      <w:proofErr w:type="spellEnd"/>
      <w:r>
        <w:rPr>
          <w:rFonts w:ascii="Georgia" w:hAnsi="Georgia"/>
          <w:b/>
          <w:sz w:val="24"/>
          <w:szCs w:val="24"/>
          <w:lang w:val="en-GB"/>
        </w:rPr>
        <w:t xml:space="preserve"> (</w:t>
      </w:r>
      <w:r w:rsidR="00781575" w:rsidRPr="00781575">
        <w:rPr>
          <w:rFonts w:ascii="Georgia" w:hAnsi="Georgia"/>
          <w:b/>
          <w:sz w:val="24"/>
          <w:szCs w:val="24"/>
          <w:lang w:val="en-GB"/>
        </w:rPr>
        <w:t>Focal Point</w:t>
      </w:r>
      <w:r>
        <w:rPr>
          <w:rFonts w:ascii="Georgia" w:hAnsi="Georgia"/>
          <w:b/>
          <w:sz w:val="24"/>
          <w:szCs w:val="24"/>
          <w:lang w:val="en-GB"/>
        </w:rPr>
        <w:t>)</w:t>
      </w:r>
      <w:r w:rsidR="00781575" w:rsidRPr="00781575">
        <w:rPr>
          <w:rFonts w:ascii="Georgia" w:hAnsi="Georgia"/>
          <w:b/>
          <w:sz w:val="24"/>
          <w:szCs w:val="24"/>
          <w:lang w:val="en-GB"/>
        </w:rPr>
        <w:t xml:space="preserve"> Conducting</w:t>
      </w:r>
    </w:p>
    <w:p w14:paraId="749BE8BA" w14:textId="77777777" w:rsidR="00781575" w:rsidRP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>I imbibed this technique at first without knowing what it was or that I was doing so. Aged about 14, I went weekly to the concerts given by the Bournemouth Symphony Orchestra in my home town. Soon after I began attending, their chief conductor, Constantin Silvestri, died suddenly and George Hurst, who had been a regular guest, took over his concerts.</w:t>
      </w:r>
    </w:p>
    <w:p w14:paraId="1C3C23CE" w14:textId="4571D967" w:rsid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>I knew there was something different about what he did, compared to other conductors; put simply, he “looked like the music sounded</w:t>
      </w:r>
      <w:r>
        <w:rPr>
          <w:rFonts w:ascii="Georgia" w:hAnsi="Georgia"/>
          <w:lang w:val="en-GB"/>
        </w:rPr>
        <w:t>.</w:t>
      </w:r>
      <w:r w:rsidRPr="00781575">
        <w:rPr>
          <w:rFonts w:ascii="Georgia" w:hAnsi="Georgia"/>
          <w:lang w:val="en-GB"/>
        </w:rPr>
        <w:t>”</w:t>
      </w:r>
      <w:r>
        <w:rPr>
          <w:rFonts w:ascii="Georgia" w:hAnsi="Georgia"/>
          <w:lang w:val="en-GB"/>
        </w:rPr>
        <w:t xml:space="preserve"> </w:t>
      </w:r>
      <w:r w:rsidRPr="00781575">
        <w:rPr>
          <w:rFonts w:ascii="Georgia" w:hAnsi="Georgia"/>
          <w:lang w:val="en-GB"/>
        </w:rPr>
        <w:t>The orchestra sounded different and physically he caused the sound. There was also an elegance in his movement and use of the baton--it looked like an instrument instead of an appendage. George would have been amused at the word “elegant” however. In a newspaper article while on a tour of South Africa in 1957*, George described his first attempt at conducting:</w:t>
      </w:r>
    </w:p>
    <w:p w14:paraId="2E0631C8" w14:textId="77777777" w:rsidR="00781575" w:rsidRP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</w:p>
    <w:p w14:paraId="4A364F9B" w14:textId="3FCE2918" w:rsidR="00781575" w:rsidRPr="00781575" w:rsidRDefault="00781575" w:rsidP="0057011A">
      <w:pPr>
        <w:spacing w:after="0" w:line="320" w:lineRule="atLeast"/>
        <w:ind w:left="720" w:right="720"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>I felt like an idiot – gawky – I felt as if one arm didn’t know what the other was doing – and I was right! It was an upsetting debut. I felt like a misfit. I thought conducting was not for me. And the orchestra agreed!”</w:t>
      </w:r>
    </w:p>
    <w:p w14:paraId="2098C8E0" w14:textId="77777777" w:rsidR="00781575" w:rsidRPr="00781575" w:rsidRDefault="00781575" w:rsidP="0057011A">
      <w:pPr>
        <w:spacing w:after="0" w:line="320" w:lineRule="atLeast"/>
        <w:ind w:left="720" w:right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>It took a long time to become comfortable on the rostrum. Conducting exhausted him; he needed rests between pieces. A study of technique showed him how to relax.</w:t>
      </w:r>
    </w:p>
    <w:p w14:paraId="205EEB81" w14:textId="0313078B" w:rsidR="00781575" w:rsidRPr="00781575" w:rsidRDefault="00781575" w:rsidP="0057011A">
      <w:pPr>
        <w:spacing w:after="0" w:line="320" w:lineRule="atLeast"/>
        <w:ind w:left="720" w:right="720"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>My technique had been miserable; the discomfort stemmed from my lack of physical coordination – so for a while I conducted without thinking of the music, concentrating on the technique</w:t>
      </w:r>
      <w:r>
        <w:rPr>
          <w:rFonts w:ascii="Georgia" w:hAnsi="Georgia"/>
          <w:lang w:val="en-GB"/>
        </w:rPr>
        <w:t>.</w:t>
      </w:r>
    </w:p>
    <w:p w14:paraId="0FC877E9" w14:textId="77777777" w:rsidR="00781575" w:rsidRDefault="00781575" w:rsidP="0057011A">
      <w:pPr>
        <w:spacing w:after="0" w:line="320" w:lineRule="atLeast"/>
        <w:ind w:left="720" w:right="720"/>
        <w:rPr>
          <w:rFonts w:ascii="Georgia" w:hAnsi="Georgia"/>
          <w:lang w:val="en-GB"/>
        </w:rPr>
      </w:pPr>
    </w:p>
    <w:p w14:paraId="0CEC0402" w14:textId="37C9FE6A" w:rsidR="00781575" w:rsidRPr="00781575" w:rsidRDefault="00781575" w:rsidP="0057011A">
      <w:pPr>
        <w:spacing w:after="0" w:line="320" w:lineRule="atLeast"/>
        <w:ind w:firstLine="720"/>
        <w:jc w:val="both"/>
        <w:rPr>
          <w:rFonts w:ascii="Georgia" w:hAnsi="Georgia"/>
          <w:lang w:val="en-GB"/>
        </w:rPr>
      </w:pPr>
      <w:r>
        <w:rPr>
          <w:rFonts w:ascii="Georgia" w:hAnsi="Georgia"/>
          <w:lang w:val="en-GB"/>
        </w:rPr>
        <w:t>George</w:t>
      </w:r>
      <w:r w:rsidRPr="00781575">
        <w:rPr>
          <w:rFonts w:ascii="Georgia" w:hAnsi="Georgia"/>
          <w:lang w:val="en-GB"/>
        </w:rPr>
        <w:t xml:space="preserve"> adopted the Toscanini technique: coordination of every part of the body from the top of the head to the tip of the toe.</w:t>
      </w:r>
      <w:r>
        <w:rPr>
          <w:rFonts w:ascii="Georgia" w:hAnsi="Georgia"/>
          <w:lang w:val="en-GB"/>
        </w:rPr>
        <w:t xml:space="preserve"> </w:t>
      </w:r>
      <w:r w:rsidR="0065305D">
        <w:rPr>
          <w:rFonts w:ascii="Georgia" w:hAnsi="Georgia"/>
          <w:lang w:val="en-GB"/>
        </w:rPr>
        <w:t xml:space="preserve">He noted: </w:t>
      </w:r>
      <w:r w:rsidRPr="00781575">
        <w:rPr>
          <w:rFonts w:ascii="Georgia" w:hAnsi="Georgia"/>
          <w:lang w:val="en-GB"/>
        </w:rPr>
        <w:t>“I became so versed in it that if I see Toscanini conducting, say on a television screen but with the sound cut off, I’ll be able to tell what he is conducting.</w:t>
      </w:r>
      <w:r>
        <w:rPr>
          <w:rFonts w:ascii="Georgia" w:hAnsi="Georgia"/>
          <w:lang w:val="en-GB"/>
        </w:rPr>
        <w:t>”</w:t>
      </w:r>
      <w:r w:rsidR="0065305D">
        <w:rPr>
          <w:rStyle w:val="FootnoteReference"/>
          <w:rFonts w:ascii="Georgia" w:hAnsi="Georgia"/>
          <w:lang w:val="en-GB"/>
        </w:rPr>
        <w:footnoteReference w:id="1"/>
      </w:r>
    </w:p>
    <w:p w14:paraId="40131DE7" w14:textId="5708B971" w:rsidR="00781575" w:rsidRPr="00781575" w:rsidRDefault="00781575" w:rsidP="0057011A">
      <w:pPr>
        <w:spacing w:after="0" w:line="320" w:lineRule="atLeast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 xml:space="preserve"> </w:t>
      </w:r>
      <w:r w:rsidR="0065305D">
        <w:rPr>
          <w:rFonts w:ascii="Georgia" w:hAnsi="Georgia"/>
          <w:lang w:val="en-GB"/>
        </w:rPr>
        <w:tab/>
      </w:r>
      <w:r w:rsidRPr="00781575">
        <w:rPr>
          <w:rFonts w:ascii="Georgia" w:hAnsi="Georgia"/>
          <w:lang w:val="en-GB"/>
        </w:rPr>
        <w:t xml:space="preserve">The technique, as he related many times, was learned from Leon Barzin - relaxation, coordination and the point of the beat always being within the central area of the body being the key. A favourite word that George used to describe it was “integration”; integration of body and baton so that a complete musical message is given to the players. According to George, Leon Barzin analysed Toscanini’s technique and taught it. In a small way, I have attempted to do for George what Barzin did for Toscanini – to analyse and describe the technique so that it can be learned. </w:t>
      </w:r>
    </w:p>
    <w:p w14:paraId="386F0867" w14:textId="77777777" w:rsidR="00781575" w:rsidRP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lastRenderedPageBreak/>
        <w:t xml:space="preserve">A personal anecdote is of some relevance: I have a long-standing American pupil whom I first came across at </w:t>
      </w:r>
      <w:proofErr w:type="spellStart"/>
      <w:r w:rsidRPr="00781575">
        <w:rPr>
          <w:rFonts w:ascii="Georgia" w:hAnsi="Georgia"/>
          <w:lang w:val="en-GB"/>
        </w:rPr>
        <w:t>Canford</w:t>
      </w:r>
      <w:proofErr w:type="spellEnd"/>
      <w:r w:rsidRPr="00781575">
        <w:rPr>
          <w:rFonts w:ascii="Georgia" w:hAnsi="Georgia"/>
          <w:lang w:val="en-GB"/>
        </w:rPr>
        <w:t xml:space="preserve"> Summer School many years ago. After the first lesson he came up to me in astonishment and said he hadn’t seen that technique in years and that I must have studied with Barzin (he had known him well as a viola player and as a friend). I was just as astonished because I had only watched and studied with George. It was fascinating to know that the technique was so recognizable.</w:t>
      </w:r>
    </w:p>
    <w:p w14:paraId="16A216F6" w14:textId="56989BD4" w:rsidR="00781575" w:rsidRP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 xml:space="preserve">The </w:t>
      </w:r>
      <w:r w:rsidRPr="00781575">
        <w:rPr>
          <w:rFonts w:ascii="Georgia" w:hAnsi="Georgia"/>
          <w:i/>
          <w:lang w:val="en-GB"/>
        </w:rPr>
        <w:t>“Craft of Conducting”</w:t>
      </w:r>
      <w:r w:rsidRPr="00781575">
        <w:rPr>
          <w:rFonts w:ascii="Georgia" w:hAnsi="Georgia"/>
          <w:lang w:val="en-GB"/>
        </w:rPr>
        <w:t xml:space="preserve"> was made at the request of students at the summer school. When it was initially proposed I </w:t>
      </w:r>
      <w:r w:rsidR="003F6C3B">
        <w:rPr>
          <w:rFonts w:ascii="Georgia" w:hAnsi="Georgia"/>
          <w:lang w:val="en-GB"/>
        </w:rPr>
        <w:t>dismissed</w:t>
      </w:r>
      <w:bookmarkStart w:id="0" w:name="_GoBack"/>
      <w:bookmarkEnd w:id="0"/>
      <w:r w:rsidRPr="00781575">
        <w:rPr>
          <w:rFonts w:ascii="Georgia" w:hAnsi="Georgia"/>
          <w:lang w:val="en-GB"/>
        </w:rPr>
        <w:t xml:space="preserve"> the idea, but the more I thought about it, the more I realised that is could be of real use. Conducting is a fluid art and cannot be learned from descriptions in a book. So, I set about doing it. The various “chapters” were planned so as to be as comprehensive as possible but it was not scripted and was done direct to camera.</w:t>
      </w:r>
    </w:p>
    <w:p w14:paraId="6357900A" w14:textId="77777777" w:rsidR="00781575" w:rsidRP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 xml:space="preserve">The musical tradition that I learned from George is the foundation of my musical thinking, of everything he taught and all that we taught together. It is a noble line going back through Monteux, George’s teacher, to </w:t>
      </w:r>
      <w:proofErr w:type="spellStart"/>
      <w:r w:rsidRPr="00781575">
        <w:rPr>
          <w:rFonts w:ascii="Georgia" w:hAnsi="Georgia"/>
          <w:lang w:val="en-GB"/>
        </w:rPr>
        <w:t>Nikisch</w:t>
      </w:r>
      <w:proofErr w:type="spellEnd"/>
      <w:r w:rsidRPr="00781575">
        <w:rPr>
          <w:rFonts w:ascii="Georgia" w:hAnsi="Georgia"/>
          <w:lang w:val="en-GB"/>
        </w:rPr>
        <w:t>, Wagner and Liszt. I and many of his pupils, feel privileged to have come under this influence. I experienced it for about 40 years, as pupil, friend, colleague and finally wife so that it has become part of me.</w:t>
      </w:r>
    </w:p>
    <w:p w14:paraId="2997CAB8" w14:textId="1E0A032F" w:rsidR="00781575" w:rsidRP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>A pupil who is also a professional orchestral player once said to me:</w:t>
      </w:r>
      <w:r w:rsidR="0065305D">
        <w:rPr>
          <w:rFonts w:ascii="Georgia" w:hAnsi="Georgia"/>
          <w:lang w:val="en-GB"/>
        </w:rPr>
        <w:t xml:space="preserve"> </w:t>
      </w:r>
      <w:r w:rsidRPr="00781575">
        <w:rPr>
          <w:rFonts w:ascii="Georgia" w:hAnsi="Georgia"/>
          <w:lang w:val="en-GB"/>
        </w:rPr>
        <w:t xml:space="preserve">“Players say one of two things about a conductor: either “he’s musical” or “he’s clear” – never both.” </w:t>
      </w:r>
    </w:p>
    <w:p w14:paraId="3F48C910" w14:textId="4AF08B7F" w:rsidR="00781575" w:rsidRDefault="00781575" w:rsidP="0057011A">
      <w:pPr>
        <w:spacing w:after="0" w:line="320" w:lineRule="atLeast"/>
        <w:ind w:firstLine="720"/>
        <w:rPr>
          <w:rFonts w:ascii="Georgia" w:hAnsi="Georgia"/>
          <w:lang w:val="en-GB"/>
        </w:rPr>
      </w:pPr>
      <w:r w:rsidRPr="00781575">
        <w:rPr>
          <w:rFonts w:ascii="Georgia" w:hAnsi="Georgia"/>
          <w:lang w:val="en-GB"/>
        </w:rPr>
        <w:t xml:space="preserve">George demonstrated in his conducting and in his teaching that it is possible to be both. He would sometimes say “All I have ever been is a good pupil” and saw it as a sacred responsibility to pass on what he had learned from Barzin and from Monteux.  I feel the same responsibility to pass on what I have learned from him. </w:t>
      </w:r>
    </w:p>
    <w:p w14:paraId="3D274FD8" w14:textId="2E3E7E13" w:rsidR="008B49AA" w:rsidRPr="00D36774" w:rsidRDefault="008B49AA" w:rsidP="0057011A">
      <w:pPr>
        <w:tabs>
          <w:tab w:val="left" w:pos="580"/>
          <w:tab w:val="left" w:pos="1120"/>
        </w:tabs>
        <w:spacing w:after="0" w:line="320" w:lineRule="atLeast"/>
        <w:rPr>
          <w:rFonts w:ascii="Georgia" w:hAnsi="Georgia" w:cs="Arial"/>
        </w:rPr>
      </w:pPr>
    </w:p>
    <w:sectPr w:rsidR="008B49AA" w:rsidRPr="00D36774" w:rsidSect="000A7A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DF0E5D" w14:textId="77777777" w:rsidR="000B43AA" w:rsidRDefault="000B43AA" w:rsidP="0065305D">
      <w:pPr>
        <w:spacing w:after="0" w:line="240" w:lineRule="auto"/>
      </w:pPr>
      <w:r>
        <w:separator/>
      </w:r>
    </w:p>
  </w:endnote>
  <w:endnote w:type="continuationSeparator" w:id="0">
    <w:p w14:paraId="431D3D9D" w14:textId="77777777" w:rsidR="000B43AA" w:rsidRDefault="000B43AA" w:rsidP="00653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9316E" w14:textId="77777777" w:rsidR="000B43AA" w:rsidRDefault="000B43AA" w:rsidP="0065305D">
      <w:pPr>
        <w:spacing w:after="0" w:line="240" w:lineRule="auto"/>
      </w:pPr>
      <w:r>
        <w:separator/>
      </w:r>
    </w:p>
  </w:footnote>
  <w:footnote w:type="continuationSeparator" w:id="0">
    <w:p w14:paraId="7FFB8F14" w14:textId="77777777" w:rsidR="000B43AA" w:rsidRDefault="000B43AA" w:rsidP="0065305D">
      <w:pPr>
        <w:spacing w:after="0" w:line="240" w:lineRule="auto"/>
      </w:pPr>
      <w:r>
        <w:continuationSeparator/>
      </w:r>
    </w:p>
  </w:footnote>
  <w:footnote w:id="1">
    <w:p w14:paraId="3A3588EA" w14:textId="26CA18B9" w:rsidR="0065305D" w:rsidRDefault="0065305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81575">
        <w:rPr>
          <w:rFonts w:ascii="Georgia" w:hAnsi="Georgia"/>
          <w:lang w:val="en-GB"/>
        </w:rPr>
        <w:t>It’s worth mentioning that in those days of apartheid, George refused to do the tour unless every concert for a white audience was also given for a black one. He had this written into his contract.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7B1"/>
    <w:rsid w:val="0000622F"/>
    <w:rsid w:val="000B43AA"/>
    <w:rsid w:val="0017728C"/>
    <w:rsid w:val="001D3BE2"/>
    <w:rsid w:val="00353539"/>
    <w:rsid w:val="003F6C3B"/>
    <w:rsid w:val="005123FD"/>
    <w:rsid w:val="0055053B"/>
    <w:rsid w:val="0056022C"/>
    <w:rsid w:val="0057011A"/>
    <w:rsid w:val="005E359E"/>
    <w:rsid w:val="0065305D"/>
    <w:rsid w:val="00781575"/>
    <w:rsid w:val="00875B56"/>
    <w:rsid w:val="008B49AA"/>
    <w:rsid w:val="009864DA"/>
    <w:rsid w:val="009F23D4"/>
    <w:rsid w:val="00AD4554"/>
    <w:rsid w:val="00CF0125"/>
    <w:rsid w:val="00D36774"/>
    <w:rsid w:val="00D74D17"/>
    <w:rsid w:val="00D917B1"/>
    <w:rsid w:val="00E61687"/>
    <w:rsid w:val="00F9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DEA97"/>
  <w15:chartTrackingRefBased/>
  <w15:docId w15:val="{A1F3581B-A803-46F0-BD08-5C8B15AA7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530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30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5305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505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5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76022-1FEA-46F8-BBEE-BE148778B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Jacques Voois</dc:creator>
  <cp:keywords/>
  <dc:description/>
  <cp:lastModifiedBy>Jacques Voois</cp:lastModifiedBy>
  <cp:revision>5</cp:revision>
  <dcterms:created xsi:type="dcterms:W3CDTF">2018-08-16T13:49:00Z</dcterms:created>
  <dcterms:modified xsi:type="dcterms:W3CDTF">2018-08-20T22:45:00Z</dcterms:modified>
</cp:coreProperties>
</file>